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DAFB" w14:textId="584030C0" w:rsidR="001659EE" w:rsidRPr="001659EE" w:rsidRDefault="001659EE" w:rsidP="001659EE">
      <w:pPr>
        <w:spacing w:after="200" w:line="276" w:lineRule="auto"/>
        <w:rPr>
          <w:rFonts w:ascii="Calibri" w:eastAsia="Calibri" w:hAnsi="Calibri" w:cs="Times New Roman"/>
          <w:i/>
          <w:kern w:val="0"/>
          <w:sz w:val="22"/>
          <w:szCs w:val="22"/>
          <w:u w:val="single"/>
          <w14:ligatures w14:val="none"/>
        </w:rPr>
      </w:pPr>
      <w:r w:rsidRPr="001659EE">
        <w:rPr>
          <w:rFonts w:ascii="Calibri" w:eastAsia="Calibri" w:hAnsi="Calibri" w:cs="Times New Roman"/>
          <w:i/>
          <w:kern w:val="0"/>
          <w:sz w:val="22"/>
          <w:szCs w:val="22"/>
          <w:u w:val="single"/>
          <w14:ligatures w14:val="none"/>
        </w:rPr>
        <w:t>DISCHARGE INSTRUCTIONS GUIDE:</w:t>
      </w:r>
    </w:p>
    <w:p w14:paraId="2E3D95D3" w14:textId="06EAA71E" w:rsidR="001659EE" w:rsidRPr="00441245" w:rsidRDefault="00C722E4" w:rsidP="001659EE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Complete </w:t>
      </w:r>
      <w:r w:rsidRPr="00C722E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Discharge Progress Note (Part 1/4)</w:t>
      </w:r>
    </w:p>
    <w:p w14:paraId="19DC42BB" w14:textId="2444E252" w:rsidR="001659EE" w:rsidRPr="00441245" w:rsidRDefault="00C722E4" w:rsidP="001659EE">
      <w:pPr>
        <w:numPr>
          <w:ilvl w:val="1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Complete Day of Discharge</w:t>
      </w:r>
    </w:p>
    <w:p w14:paraId="1E4B37F0" w14:textId="339A0250" w:rsidR="001659EE" w:rsidRPr="00441245" w:rsidRDefault="001659EE" w:rsidP="001659EE">
      <w:pPr>
        <w:numPr>
          <w:ilvl w:val="1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41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If the patient uses tobacco, please offer them smoking cessation medications and referral to smoking cessation clinic. </w:t>
      </w:r>
    </w:p>
    <w:p w14:paraId="5453EE25" w14:textId="3DC578A5" w:rsidR="001659EE" w:rsidRPr="001659EE" w:rsidRDefault="001659EE" w:rsidP="001659EE">
      <w:pPr>
        <w:numPr>
          <w:ilvl w:val="1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41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If the patient has a positive AUDIT C, please offer alcohol cessation medications and outpatient substance use clinic follow up. </w:t>
      </w:r>
    </w:p>
    <w:p w14:paraId="42EB0393" w14:textId="0C83493F" w:rsidR="00AE5515" w:rsidRDefault="00C722E4" w:rsidP="006D45A3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Complete </w:t>
      </w:r>
      <w:r w:rsidRPr="00C722E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Discharge Patient Instructions (Part 2/4)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noe</w:t>
      </w:r>
      <w:proofErr w:type="spellEnd"/>
    </w:p>
    <w:p w14:paraId="0E174ACD" w14:textId="085DE198" w:rsidR="006D45A3" w:rsidRDefault="00C722E4" w:rsidP="006D45A3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MD or PharmD completes </w:t>
      </w:r>
      <w:r w:rsidR="00772CB1" w:rsidRPr="00C722E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Discharge Medication Reconciliation</w:t>
      </w:r>
      <w:r w:rsidR="00772CB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C722E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(Part 3/4)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772CB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Note</w:t>
      </w:r>
    </w:p>
    <w:p w14:paraId="4EB449AC" w14:textId="337A8E73" w:rsidR="006D45A3" w:rsidRDefault="006D45A3" w:rsidP="006D45A3">
      <w:pPr>
        <w:numPr>
          <w:ilvl w:val="1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D034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Review the Medication Reconciliation report under Reports&gt;Health Summary&gt;Medication Reconciliation. This report lists inpatient, outpatient, remote (from another VA), and non-VA medications, alphabetically. It will allow you to compare which medications are new or have had a dosage change during hospital admission. It will also prompt you to think about what should be discontinued. It’s helpful to copy this into a document for reference </w:t>
      </w:r>
      <w:r w:rsidR="00C4466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as you work </w:t>
      </w:r>
      <w:r w:rsidRPr="008D034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through the </w:t>
      </w:r>
      <w:r w:rsidR="00C4466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process of reconciling the patient’s medications</w:t>
      </w:r>
      <w:r w:rsidRPr="008D034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2A8D5505" w14:textId="77777777" w:rsidR="006D45A3" w:rsidRDefault="006D45A3" w:rsidP="008D0346">
      <w:pPr>
        <w:spacing w:after="200" w:line="276" w:lineRule="auto"/>
        <w:ind w:left="1440"/>
        <w:contextualSpacing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5DFA70A" w14:textId="77777777" w:rsidR="00AC020C" w:rsidRDefault="006D45A3" w:rsidP="008D0346">
      <w:pPr>
        <w:spacing w:after="200" w:line="276" w:lineRule="auto"/>
        <w:ind w:left="1440"/>
        <w:contextualSpacing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D03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TIP</w:t>
      </w:r>
      <w:r w:rsidRPr="008D034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: Pay close attention to any chronic medications at the bottom of the report listed as “EXPIRED”. Patients are often taking these </w:t>
      </w:r>
      <w:proofErr w:type="gramStart"/>
      <w:r w:rsidRPr="008D034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medications,</w:t>
      </w:r>
      <w:proofErr w:type="gramEnd"/>
      <w:r w:rsidRPr="008D034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however, they won’t appear as </w:t>
      </w:r>
    </w:p>
    <w:p w14:paraId="1851FDFB" w14:textId="20CF9578" w:rsidR="006D45A3" w:rsidRPr="008D0346" w:rsidRDefault="00AC020C" w:rsidP="008D0346">
      <w:pPr>
        <w:spacing w:after="200" w:line="276" w:lineRule="auto"/>
        <w:ind w:left="1440"/>
        <w:contextualSpacing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active</w:t>
      </w:r>
      <w:r w:rsidR="006D45A3" w:rsidRPr="008D034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Confirm with the patient that he/she is still taking the medication, then renew it at discharge. </w:t>
      </w:r>
    </w:p>
    <w:p w14:paraId="7E22D3E3" w14:textId="77777777" w:rsidR="006D45A3" w:rsidRPr="006D45A3" w:rsidRDefault="006D45A3" w:rsidP="008D0346">
      <w:pPr>
        <w:spacing w:after="200" w:line="276" w:lineRule="auto"/>
        <w:ind w:left="1440"/>
        <w:contextualSpacing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3"/>
        <w:gridCol w:w="2682"/>
        <w:gridCol w:w="2700"/>
        <w:gridCol w:w="2785"/>
      </w:tblGrid>
      <w:tr w:rsidR="006D45A3" w14:paraId="3F41ABFA" w14:textId="77777777" w:rsidTr="00CB7E86">
        <w:tc>
          <w:tcPr>
            <w:tcW w:w="1183" w:type="dxa"/>
          </w:tcPr>
          <w:p w14:paraId="296022DC" w14:textId="32E12EC0" w:rsidR="006D45A3" w:rsidRPr="006D45A3" w:rsidRDefault="006D45A3" w:rsidP="00534957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D45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Discharged To</w:t>
            </w:r>
          </w:p>
        </w:tc>
        <w:tc>
          <w:tcPr>
            <w:tcW w:w="2682" w:type="dxa"/>
          </w:tcPr>
          <w:p w14:paraId="68262ADC" w14:textId="53532D93" w:rsidR="006D45A3" w:rsidRPr="006D45A3" w:rsidRDefault="006D45A3" w:rsidP="00CB7E86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D45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Home</w:t>
            </w:r>
          </w:p>
        </w:tc>
        <w:tc>
          <w:tcPr>
            <w:tcW w:w="2700" w:type="dxa"/>
          </w:tcPr>
          <w:p w14:paraId="177210F3" w14:textId="77777777" w:rsidR="008D0346" w:rsidRDefault="006D45A3" w:rsidP="00CB7E86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D45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Short-Term Rehab</w:t>
            </w:r>
          </w:p>
          <w:p w14:paraId="1B472B11" w14:textId="1BB04F28" w:rsidR="006D45A3" w:rsidRPr="006D45A3" w:rsidRDefault="006D45A3" w:rsidP="00CB7E86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D45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(e.g., SAR)</w:t>
            </w:r>
          </w:p>
        </w:tc>
        <w:tc>
          <w:tcPr>
            <w:tcW w:w="2785" w:type="dxa"/>
          </w:tcPr>
          <w:p w14:paraId="144BE94B" w14:textId="5DA883A1" w:rsidR="006D45A3" w:rsidRDefault="006D45A3" w:rsidP="00CB7E86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D03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Long-Term Care Facility or Community Living Center (CLC)</w:t>
            </w:r>
          </w:p>
        </w:tc>
      </w:tr>
      <w:tr w:rsidR="006D45A3" w14:paraId="52690C7C" w14:textId="77777777" w:rsidTr="00CB7E86">
        <w:tc>
          <w:tcPr>
            <w:tcW w:w="1183" w:type="dxa"/>
          </w:tcPr>
          <w:p w14:paraId="556F6578" w14:textId="3FAD8644" w:rsidR="006D45A3" w:rsidRDefault="006D45A3" w:rsidP="006D45A3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Step 1</w:t>
            </w:r>
          </w:p>
        </w:tc>
        <w:tc>
          <w:tcPr>
            <w:tcW w:w="2682" w:type="dxa"/>
          </w:tcPr>
          <w:p w14:paraId="346A9DF5" w14:textId="77777777" w:rsidR="00E074FA" w:rsidRPr="00CB7E86" w:rsidRDefault="006D45A3" w:rsidP="00E074FA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Update </w:t>
            </w:r>
            <w:r w:rsidRP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outpatient</w:t>
            </w:r>
            <w:r w:rsidRP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medications</w:t>
            </w:r>
          </w:p>
          <w:p w14:paraId="6908E26B" w14:textId="0E0E321F" w:rsidR="00E074FA" w:rsidRPr="00CB7E86" w:rsidRDefault="00E074FA" w:rsidP="00E074FA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Discontinue meds not being continued (pay close attention to duplicate non-VA medications)</w:t>
            </w:r>
          </w:p>
          <w:p w14:paraId="14E31271" w14:textId="77777777" w:rsidR="00E074FA" w:rsidRPr="00CB7E86" w:rsidRDefault="00E074FA" w:rsidP="00E074FA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Verify </w:t>
            </w:r>
            <w:proofErr w:type="gramStart"/>
            <w:r w:rsidRP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doses</w:t>
            </w:r>
            <w:proofErr w:type="gramEnd"/>
            <w:r w:rsidRP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are correct</w:t>
            </w:r>
          </w:p>
          <w:p w14:paraId="66473E48" w14:textId="0A2819A2" w:rsidR="00E074FA" w:rsidRPr="00CB7E86" w:rsidRDefault="00E074FA" w:rsidP="00E074FA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Order prescriptions for new medications for 30-day supply with 1 refill (if chronic medication)</w:t>
            </w:r>
          </w:p>
          <w:p w14:paraId="33A6FDA7" w14:textId="4D5D631F" w:rsidR="00E074FA" w:rsidRPr="00CB7E86" w:rsidRDefault="00E074FA" w:rsidP="00E074FA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Renew recently expired medications if patient is to continue taking</w:t>
            </w:r>
          </w:p>
          <w:p w14:paraId="2D9489A8" w14:textId="4CFF412A" w:rsidR="00E074FA" w:rsidRPr="00CB7E86" w:rsidRDefault="00E074FA" w:rsidP="00E074FA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</w:tcPr>
          <w:p w14:paraId="2D0C5ECA" w14:textId="6A3D0D4C" w:rsidR="00E074FA" w:rsidRPr="00CB7E86" w:rsidRDefault="006D45A3" w:rsidP="006D45A3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Update </w:t>
            </w:r>
            <w:r w:rsidRP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outpatient</w:t>
            </w:r>
            <w:r w:rsidRP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medications</w:t>
            </w:r>
          </w:p>
          <w:p w14:paraId="63AEE37D" w14:textId="77777777" w:rsidR="00E074FA" w:rsidRPr="00CB7E86" w:rsidRDefault="00E074FA" w:rsidP="00E074FA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Discontinue meds not being continued (pay close attention to duplicate non-VA medications)</w:t>
            </w:r>
          </w:p>
          <w:p w14:paraId="475A15D7" w14:textId="77777777" w:rsidR="00E074FA" w:rsidRPr="00CB7E86" w:rsidRDefault="00E074FA" w:rsidP="00E074FA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Verify </w:t>
            </w:r>
            <w:proofErr w:type="gramStart"/>
            <w:r w:rsidRP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doses</w:t>
            </w:r>
            <w:proofErr w:type="gramEnd"/>
            <w:r w:rsidRP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are correct</w:t>
            </w:r>
          </w:p>
          <w:p w14:paraId="6604B45E" w14:textId="77777777" w:rsidR="00E074FA" w:rsidRPr="00CB7E86" w:rsidRDefault="00E074FA" w:rsidP="00E074FA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Order prescriptions for new medications for 30-day supply with 1 refill (if chronic medication)</w:t>
            </w:r>
          </w:p>
          <w:p w14:paraId="5D885D21" w14:textId="77777777" w:rsidR="00E074FA" w:rsidRPr="00CB7E86" w:rsidRDefault="00E074FA" w:rsidP="00E074FA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Renew recently expired medications if patient is to continue taking</w:t>
            </w:r>
          </w:p>
          <w:p w14:paraId="405970DE" w14:textId="1EA7264E" w:rsidR="00E074FA" w:rsidRPr="00CB7E86" w:rsidRDefault="00E074FA" w:rsidP="006D45A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Send patient with paper script for controlled substances </w:t>
            </w:r>
            <w:r w:rsidR="00CB7E86" w:rsidRP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(3-day supply</w:t>
            </w:r>
            <w:r w:rsid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only</w:t>
            </w:r>
            <w:r w:rsidR="00CB7E86" w:rsidRP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  <w:p w14:paraId="1D43F0F6" w14:textId="77777777" w:rsidR="00CB7E86" w:rsidRPr="00CB7E86" w:rsidRDefault="00CB7E86" w:rsidP="006D45A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Contact Pharmacy at extension 55192 with instructions to place all outpatient medications on ‘HOLD’</w:t>
            </w:r>
          </w:p>
          <w:p w14:paraId="3671BC70" w14:textId="3C4ECB5F" w:rsidR="00CB7E86" w:rsidRPr="00CB7E86" w:rsidRDefault="00CB7E86" w:rsidP="006D45A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Check with social </w:t>
            </w:r>
            <w:proofErr w:type="gramStart"/>
            <w:r w:rsidRP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worker</w:t>
            </w:r>
            <w:proofErr w:type="gramEnd"/>
            <w:r w:rsidRP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/case manager if there are specific medications that the receiving facility does not provide. If medication(s) needs to be sent with the patient, notify pharmacy to fill for window pick-up.</w:t>
            </w:r>
          </w:p>
        </w:tc>
        <w:tc>
          <w:tcPr>
            <w:tcW w:w="2785" w:type="dxa"/>
          </w:tcPr>
          <w:p w14:paraId="4A7CA298" w14:textId="7A19C3B3" w:rsidR="00CB7E86" w:rsidRDefault="00CB7E86" w:rsidP="00CB7E8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Update </w:t>
            </w:r>
            <w:r w:rsidRP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inpatient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medications</w:t>
            </w:r>
          </w:p>
          <w:p w14:paraId="476DBA82" w14:textId="580C8F5C" w:rsidR="008D0346" w:rsidRDefault="00CB7E86" w:rsidP="008D0346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The </w:t>
            </w:r>
            <w:r w:rsidRPr="008D03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inpatient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medication list is used for medication reconciliation for patients being discharged to LTCF or the CLC</w:t>
            </w:r>
            <w:r w:rsidR="008D03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526237FA" w14:textId="31E19DC0" w:rsidR="004924D4" w:rsidRDefault="004924D4" w:rsidP="008D0346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Order chronic medications </w:t>
            </w:r>
            <w:r w:rsidR="009701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that the patient should continue </w:t>
            </w:r>
            <w:r w:rsidR="000141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as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inpatient medications</w:t>
            </w:r>
          </w:p>
          <w:p w14:paraId="4456D653" w14:textId="2B2DDA38" w:rsidR="00CB7E86" w:rsidRPr="00CB7E86" w:rsidRDefault="008D0346" w:rsidP="00CB7E86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Discontinue ALL </w:t>
            </w:r>
            <w:r w:rsidRPr="008D03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outpatient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medications</w:t>
            </w:r>
            <w:r w:rsidR="00E43E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and non-VA medications</w:t>
            </w:r>
          </w:p>
        </w:tc>
      </w:tr>
      <w:tr w:rsidR="006D45A3" w14:paraId="2F12918A" w14:textId="77777777" w:rsidTr="00CB7E86">
        <w:tc>
          <w:tcPr>
            <w:tcW w:w="1183" w:type="dxa"/>
          </w:tcPr>
          <w:p w14:paraId="2310E530" w14:textId="6F1227A3" w:rsidR="006D45A3" w:rsidRDefault="006D45A3" w:rsidP="006D45A3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Step 2</w:t>
            </w:r>
          </w:p>
        </w:tc>
        <w:tc>
          <w:tcPr>
            <w:tcW w:w="2682" w:type="dxa"/>
          </w:tcPr>
          <w:p w14:paraId="2B1AA2EF" w14:textId="01A0ADC0" w:rsidR="00CB7E86" w:rsidRDefault="00CB7E86" w:rsidP="00CB7E8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Complete DISCHARGE MEDICATION RECONCILIATION NOTE </w:t>
            </w:r>
          </w:p>
          <w:p w14:paraId="5A352ABE" w14:textId="23BAA9BF" w:rsidR="00CB7E86" w:rsidRPr="00CB7E86" w:rsidRDefault="00CB7E86" w:rsidP="00CB7E86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Select “Home” button. This automatically populates the </w:t>
            </w:r>
            <w:r w:rsidRP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outpatient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medication list.</w:t>
            </w:r>
          </w:p>
        </w:tc>
        <w:tc>
          <w:tcPr>
            <w:tcW w:w="2700" w:type="dxa"/>
          </w:tcPr>
          <w:p w14:paraId="692ED7D1" w14:textId="717281CF" w:rsidR="00CB7E86" w:rsidRDefault="00CB7E86" w:rsidP="00CB7E8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Complete DISCHARGE MEDICATION RECONCILIATION NOTE </w:t>
            </w:r>
          </w:p>
          <w:p w14:paraId="44B59FBA" w14:textId="6AEA6C16" w:rsidR="006D45A3" w:rsidRPr="008D0346" w:rsidRDefault="00CB7E86" w:rsidP="006D45A3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Select “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Short-Term Rehab Facility</w:t>
            </w:r>
            <w:r w:rsidRP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”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button. This automatically populates the </w:t>
            </w:r>
            <w:r w:rsidRP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outpatient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medication list.</w:t>
            </w:r>
          </w:p>
        </w:tc>
        <w:tc>
          <w:tcPr>
            <w:tcW w:w="2785" w:type="dxa"/>
          </w:tcPr>
          <w:p w14:paraId="42452C9B" w14:textId="7625DBD3" w:rsidR="006D45A3" w:rsidRDefault="00CB7E86" w:rsidP="006D45A3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Complete DISCHARGE MEDICATION RECONCILIATION NOTE </w:t>
            </w:r>
          </w:p>
          <w:p w14:paraId="06BD8135" w14:textId="174931B2" w:rsidR="00CB7E86" w:rsidRPr="008D0346" w:rsidRDefault="00CB7E86" w:rsidP="006D45A3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Select “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Long-Term Care Facility</w:t>
            </w:r>
            <w:r w:rsidRP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”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button. This automatically populates the current </w:t>
            </w:r>
            <w:r w:rsidRP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inpatient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medication list.</w:t>
            </w:r>
          </w:p>
        </w:tc>
      </w:tr>
      <w:tr w:rsidR="006D45A3" w14:paraId="5D268862" w14:textId="77777777" w:rsidTr="00CB7E86">
        <w:tc>
          <w:tcPr>
            <w:tcW w:w="1183" w:type="dxa"/>
          </w:tcPr>
          <w:p w14:paraId="76663951" w14:textId="0FA014AE" w:rsidR="006D45A3" w:rsidRDefault="006D45A3" w:rsidP="006D45A3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Step 3</w:t>
            </w:r>
          </w:p>
        </w:tc>
        <w:tc>
          <w:tcPr>
            <w:tcW w:w="2682" w:type="dxa"/>
          </w:tcPr>
          <w:p w14:paraId="4AB1BEA1" w14:textId="56BCC78C" w:rsidR="006D45A3" w:rsidRDefault="00776F43" w:rsidP="006D45A3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Nurse prints</w:t>
            </w:r>
            <w:r w:rsidR="00CB7E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the DISCHARGE MEDICATION RECONCILIATION NOTE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and provides to patient/caregiver at discharge</w:t>
            </w:r>
          </w:p>
        </w:tc>
        <w:tc>
          <w:tcPr>
            <w:tcW w:w="2700" w:type="dxa"/>
          </w:tcPr>
          <w:p w14:paraId="1FEAF70A" w14:textId="298EA746" w:rsidR="006D45A3" w:rsidRDefault="00776F43" w:rsidP="006D45A3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Nurse prints the DISCHARGE MEDICATION RECONCILIATION NOTE and provides to patient/caregiver at discharge</w:t>
            </w:r>
          </w:p>
        </w:tc>
        <w:tc>
          <w:tcPr>
            <w:tcW w:w="2785" w:type="dxa"/>
          </w:tcPr>
          <w:p w14:paraId="1413F83A" w14:textId="73F8EC0C" w:rsidR="006D45A3" w:rsidRDefault="00776F43" w:rsidP="006D45A3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Nurse prints the DISCHARGE MEDICATION RECONCILIATION NOTE and provides to patient/caregiver at discharge</w:t>
            </w:r>
          </w:p>
        </w:tc>
      </w:tr>
    </w:tbl>
    <w:p w14:paraId="43BC12B6" w14:textId="77777777" w:rsidR="006D45A3" w:rsidRDefault="006D45A3" w:rsidP="003F3041">
      <w:p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58587DD" w14:textId="77777777" w:rsidR="003F3041" w:rsidRDefault="003F3041" w:rsidP="008D0346">
      <w:p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B8736FA" w14:textId="659174D0" w:rsidR="00441245" w:rsidRPr="001659EE" w:rsidRDefault="0082418E" w:rsidP="0082418E">
      <w:pPr>
        <w:numPr>
          <w:ilvl w:val="1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In general, </w:t>
      </w:r>
    </w:p>
    <w:p w14:paraId="0A4CFAB7" w14:textId="2261D187" w:rsidR="001659EE" w:rsidRPr="008D0346" w:rsidRDefault="001659EE" w:rsidP="008D0346">
      <w:pPr>
        <w:numPr>
          <w:ilvl w:val="2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659E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Sort medications by disease</w:t>
      </w:r>
    </w:p>
    <w:p w14:paraId="463AF015" w14:textId="2CE0D15A" w:rsidR="001659EE" w:rsidRDefault="008D0346" w:rsidP="00E42B32">
      <w:pPr>
        <w:numPr>
          <w:ilvl w:val="2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Last minute changes to the patient’s </w:t>
      </w:r>
      <w:r w:rsidR="001659EE" w:rsidRPr="001659E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discharge medication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 are strongly discouraged. Only changes that are critically necessary should be made. Please </w:t>
      </w:r>
      <w:r w:rsidR="001659EE" w:rsidRPr="001659E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notify the pharmacist about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any </w:t>
      </w:r>
      <w:proofErr w:type="gramStart"/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last minute</w:t>
      </w:r>
      <w:proofErr w:type="gramEnd"/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1659EE" w:rsidRPr="001659E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change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</w:t>
      </w:r>
      <w:r w:rsidR="00E42B3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addend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the DISCHARGE MEDICATION RECONCILIATION NOTE </w:t>
      </w:r>
      <w:r w:rsidR="00E42B3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if already signed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  <w:r w:rsidR="00E42B3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1C018B39" w14:textId="7AC56870" w:rsidR="00C860C7" w:rsidRPr="00C722E4" w:rsidRDefault="00C722E4" w:rsidP="00C860C7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Complete </w:t>
      </w:r>
      <w:r w:rsidRPr="00C722E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Discharge Hospital Summary (Part 4/4)</w:t>
      </w:r>
    </w:p>
    <w:p w14:paraId="18D98AC9" w14:textId="58DF32F5" w:rsidR="00C722E4" w:rsidRPr="00C722E4" w:rsidRDefault="00C722E4" w:rsidP="00C722E4">
      <w:pPr>
        <w:numPr>
          <w:ilvl w:val="1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722E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Must be completed and printed prior to discharge to SAR/LTC </w:t>
      </w:r>
    </w:p>
    <w:p w14:paraId="37EFBD06" w14:textId="0F5E67AD" w:rsidR="00C722E4" w:rsidRPr="00C722E4" w:rsidRDefault="00C722E4" w:rsidP="00C722E4">
      <w:pPr>
        <w:numPr>
          <w:ilvl w:val="1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722E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Complete within 48hours if discharge to home, but ideally day of discharge</w:t>
      </w:r>
    </w:p>
    <w:p w14:paraId="463CC2BF" w14:textId="77777777" w:rsidR="00461D19" w:rsidRDefault="00461D19"/>
    <w:sectPr w:rsidR="00461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895"/>
    <w:multiLevelType w:val="hybridMultilevel"/>
    <w:tmpl w:val="D7FA196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692F0E4">
      <w:start w:val="1"/>
      <w:numFmt w:val="decimal"/>
      <w:lvlText w:val="%3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E5A99"/>
    <w:multiLevelType w:val="hybridMultilevel"/>
    <w:tmpl w:val="9B7C59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25BF6"/>
    <w:multiLevelType w:val="hybridMultilevel"/>
    <w:tmpl w:val="5B3EC2B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CD350C"/>
    <w:multiLevelType w:val="hybridMultilevel"/>
    <w:tmpl w:val="AB7A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B64B9"/>
    <w:multiLevelType w:val="hybridMultilevel"/>
    <w:tmpl w:val="5AFCF5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AC221F"/>
    <w:multiLevelType w:val="hybridMultilevel"/>
    <w:tmpl w:val="054EC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87012"/>
    <w:multiLevelType w:val="hybridMultilevel"/>
    <w:tmpl w:val="69266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C6870"/>
    <w:multiLevelType w:val="hybridMultilevel"/>
    <w:tmpl w:val="BDCAA7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206188">
    <w:abstractNumId w:val="6"/>
  </w:num>
  <w:num w:numId="2" w16cid:durableId="991104698">
    <w:abstractNumId w:val="0"/>
  </w:num>
  <w:num w:numId="3" w16cid:durableId="1821533614">
    <w:abstractNumId w:val="5"/>
  </w:num>
  <w:num w:numId="4" w16cid:durableId="1454011969">
    <w:abstractNumId w:val="3"/>
  </w:num>
  <w:num w:numId="5" w16cid:durableId="1962805744">
    <w:abstractNumId w:val="7"/>
  </w:num>
  <w:num w:numId="6" w16cid:durableId="821048123">
    <w:abstractNumId w:val="4"/>
  </w:num>
  <w:num w:numId="7" w16cid:durableId="136149180">
    <w:abstractNumId w:val="1"/>
  </w:num>
  <w:num w:numId="8" w16cid:durableId="813913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EE"/>
    <w:rsid w:val="000015C6"/>
    <w:rsid w:val="000049AB"/>
    <w:rsid w:val="0001416C"/>
    <w:rsid w:val="00060140"/>
    <w:rsid w:val="000831D4"/>
    <w:rsid w:val="000A249A"/>
    <w:rsid w:val="001274AE"/>
    <w:rsid w:val="001659EE"/>
    <w:rsid w:val="001D3BBD"/>
    <w:rsid w:val="00245AB3"/>
    <w:rsid w:val="0025429F"/>
    <w:rsid w:val="00385795"/>
    <w:rsid w:val="003D46FE"/>
    <w:rsid w:val="003F3041"/>
    <w:rsid w:val="00415A4D"/>
    <w:rsid w:val="00441245"/>
    <w:rsid w:val="00461D19"/>
    <w:rsid w:val="0046500F"/>
    <w:rsid w:val="004924D4"/>
    <w:rsid w:val="00492F13"/>
    <w:rsid w:val="004C021A"/>
    <w:rsid w:val="005128DB"/>
    <w:rsid w:val="0053174E"/>
    <w:rsid w:val="00534957"/>
    <w:rsid w:val="005F6850"/>
    <w:rsid w:val="00651F34"/>
    <w:rsid w:val="006D45A3"/>
    <w:rsid w:val="0070172F"/>
    <w:rsid w:val="0075711E"/>
    <w:rsid w:val="00772CB1"/>
    <w:rsid w:val="00776F43"/>
    <w:rsid w:val="00786644"/>
    <w:rsid w:val="0082418E"/>
    <w:rsid w:val="008D0346"/>
    <w:rsid w:val="009166BB"/>
    <w:rsid w:val="00936716"/>
    <w:rsid w:val="009701EA"/>
    <w:rsid w:val="009C6643"/>
    <w:rsid w:val="00AC020C"/>
    <w:rsid w:val="00AD707B"/>
    <w:rsid w:val="00AE5515"/>
    <w:rsid w:val="00B81602"/>
    <w:rsid w:val="00B86223"/>
    <w:rsid w:val="00BB51FF"/>
    <w:rsid w:val="00BC3BA0"/>
    <w:rsid w:val="00BD3C75"/>
    <w:rsid w:val="00BD5150"/>
    <w:rsid w:val="00C147D1"/>
    <w:rsid w:val="00C44664"/>
    <w:rsid w:val="00C722E4"/>
    <w:rsid w:val="00C860C7"/>
    <w:rsid w:val="00C91AFA"/>
    <w:rsid w:val="00CB7E86"/>
    <w:rsid w:val="00CD094D"/>
    <w:rsid w:val="00CF5C7F"/>
    <w:rsid w:val="00D069DB"/>
    <w:rsid w:val="00D86D2E"/>
    <w:rsid w:val="00DB10CD"/>
    <w:rsid w:val="00E074FA"/>
    <w:rsid w:val="00E42B32"/>
    <w:rsid w:val="00E43E2D"/>
    <w:rsid w:val="00E71708"/>
    <w:rsid w:val="00EB41CF"/>
    <w:rsid w:val="00FD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CA340"/>
  <w15:chartTrackingRefBased/>
  <w15:docId w15:val="{C0F706C4-A073-44E9-95A9-9B7974B3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9E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D70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0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0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0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15C6"/>
    <w:pPr>
      <w:spacing w:after="0" w:line="240" w:lineRule="auto"/>
    </w:pPr>
  </w:style>
  <w:style w:type="table" w:styleId="TableGrid">
    <w:name w:val="Table Grid"/>
    <w:basedOn w:val="TableNormal"/>
    <w:uiPriority w:val="39"/>
    <w:rsid w:val="003F3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3456</Characters>
  <Application>Microsoft Office Word</Application>
  <DocSecurity>4</DocSecurity>
  <Lines>142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Logan, Jessica J.</dc:creator>
  <cp:keywords/>
  <dc:description/>
  <cp:lastModifiedBy>Modi, Nihar S.</cp:lastModifiedBy>
  <cp:revision>2</cp:revision>
  <dcterms:created xsi:type="dcterms:W3CDTF">2026-01-16T18:48:00Z</dcterms:created>
  <dcterms:modified xsi:type="dcterms:W3CDTF">2026-01-16T18:48:00Z</dcterms:modified>
</cp:coreProperties>
</file>